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9298" w14:textId="2144B109" w:rsidR="0074455A" w:rsidRPr="0074455A" w:rsidRDefault="0074455A" w:rsidP="0074455A">
      <w:pPr>
        <w:shd w:val="clear" w:color="auto" w:fill="FFFFFF"/>
        <w:spacing w:after="150" w:line="240" w:lineRule="auto"/>
        <w:rPr>
          <w:rFonts w:ascii="Open Sans" w:eastAsia="Times New Roman" w:hAnsi="Open Sans" w:cs="Open Sans"/>
          <w:color w:val="000000"/>
          <w:kern w:val="0"/>
          <w:sz w:val="20"/>
          <w:szCs w:val="20"/>
          <w:lang w:eastAsia="en-CA"/>
          <w14:ligatures w14:val="none"/>
        </w:rPr>
      </w:pPr>
      <w:r w:rsidRPr="0074455A">
        <w:rPr>
          <w:rFonts w:ascii="Open Sans" w:eastAsia="Times New Roman" w:hAnsi="Open Sans" w:cs="Open Sans"/>
          <w:noProof/>
          <w:color w:val="000000"/>
          <w:kern w:val="0"/>
          <w:sz w:val="20"/>
          <w:szCs w:val="20"/>
          <w:lang w:eastAsia="en-CA"/>
          <w14:ligatures w14:val="none"/>
        </w:rPr>
        <w:drawing>
          <wp:inline distT="0" distB="0" distL="0" distR="0" wp14:anchorId="0B864B26" wp14:editId="5FB797BA">
            <wp:extent cx="5943600" cy="1828800"/>
            <wp:effectExtent l="0" t="0" r="0" b="0"/>
            <wp:docPr id="934603472" name="Picture 5" descr="CBA Charity Law Sympo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 Charity Law Sympos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14:paraId="3D199FBE" w14:textId="77777777" w:rsidR="0074455A" w:rsidRPr="0074455A" w:rsidRDefault="0074455A" w:rsidP="0074455A">
      <w:pPr>
        <w:shd w:val="clear" w:color="auto" w:fill="FFFFFF"/>
        <w:spacing w:before="300" w:after="75" w:line="240" w:lineRule="auto"/>
        <w:outlineLvl w:val="1"/>
        <w:rPr>
          <w:rFonts w:ascii="Crimson Text" w:eastAsia="Times New Roman" w:hAnsi="Crimson Text" w:cs="Open Sans"/>
          <w:caps/>
          <w:color w:val="000000"/>
          <w:kern w:val="0"/>
          <w:sz w:val="27"/>
          <w:szCs w:val="27"/>
          <w:lang w:eastAsia="en-CA"/>
          <w14:ligatures w14:val="none"/>
        </w:rPr>
      </w:pPr>
      <w:r w:rsidRPr="0074455A">
        <w:rPr>
          <w:rFonts w:ascii="Crimson Text" w:eastAsia="Times New Roman" w:hAnsi="Crimson Text" w:cs="Open Sans"/>
          <w:caps/>
          <w:color w:val="000000"/>
          <w:kern w:val="0"/>
          <w:sz w:val="27"/>
          <w:szCs w:val="27"/>
          <w:lang w:eastAsia="en-CA"/>
          <w14:ligatures w14:val="none"/>
        </w:rPr>
        <w:t>CBA CHARITY LAW SYMPOSIUM</w:t>
      </w:r>
    </w:p>
    <w:p w14:paraId="1B1223A7" w14:textId="77777777" w:rsidR="0074455A" w:rsidRPr="0074455A" w:rsidRDefault="0074455A" w:rsidP="0074455A">
      <w:pPr>
        <w:shd w:val="clear" w:color="auto" w:fill="FFFFFF"/>
        <w:spacing w:after="150" w:line="240" w:lineRule="auto"/>
        <w:rPr>
          <w:rFonts w:ascii="Open Sans" w:eastAsia="Times New Roman" w:hAnsi="Open Sans" w:cs="Open Sans"/>
          <w:color w:val="000000"/>
          <w:kern w:val="0"/>
          <w:sz w:val="20"/>
          <w:szCs w:val="20"/>
          <w:lang w:eastAsia="en-CA"/>
          <w14:ligatures w14:val="none"/>
        </w:rPr>
      </w:pPr>
      <w:r w:rsidRPr="0074455A">
        <w:rPr>
          <w:rFonts w:ascii="Open Sans" w:eastAsia="Times New Roman" w:hAnsi="Open Sans" w:cs="Open Sans"/>
          <w:color w:val="000000"/>
          <w:kern w:val="0"/>
          <w:sz w:val="20"/>
          <w:szCs w:val="20"/>
          <w:lang w:eastAsia="en-CA"/>
          <w14:ligatures w14:val="none"/>
        </w:rPr>
        <w:t>Presented by the </w:t>
      </w:r>
      <w:hyperlink r:id="rId5" w:history="1">
        <w:r w:rsidRPr="0074455A">
          <w:rPr>
            <w:rFonts w:ascii="Open Sans" w:eastAsia="Times New Roman" w:hAnsi="Open Sans" w:cs="Open Sans"/>
            <w:color w:val="1A3989"/>
            <w:kern w:val="0"/>
            <w:sz w:val="20"/>
            <w:szCs w:val="20"/>
            <w:u w:val="single"/>
            <w:lang w:eastAsia="en-CA"/>
            <w14:ligatures w14:val="none"/>
          </w:rPr>
          <w:t>CBA Charities and Not-for-Profit Law Section</w:t>
        </w:r>
      </w:hyperlink>
      <w:r w:rsidRPr="0074455A">
        <w:rPr>
          <w:rFonts w:ascii="Open Sans" w:eastAsia="Times New Roman" w:hAnsi="Open Sans" w:cs="Open Sans"/>
          <w:color w:val="000000"/>
          <w:kern w:val="0"/>
          <w:sz w:val="20"/>
          <w:szCs w:val="20"/>
          <w:lang w:eastAsia="en-CA"/>
          <w14:ligatures w14:val="none"/>
        </w:rPr>
        <w:br/>
      </w:r>
      <w:r w:rsidRPr="0074455A">
        <w:rPr>
          <w:rFonts w:ascii="Open Sans" w:eastAsia="Times New Roman" w:hAnsi="Open Sans" w:cs="Open Sans"/>
          <w:b/>
          <w:bCs/>
          <w:color w:val="000000"/>
          <w:kern w:val="0"/>
          <w:sz w:val="20"/>
          <w:szCs w:val="20"/>
          <w:lang w:eastAsia="en-CA"/>
          <w14:ligatures w14:val="none"/>
        </w:rPr>
        <w:t>May 12, 2023 | Toronto, ON</w:t>
      </w:r>
      <w:r w:rsidRPr="0074455A">
        <w:rPr>
          <w:rFonts w:ascii="Open Sans" w:eastAsia="Times New Roman" w:hAnsi="Open Sans" w:cs="Open Sans"/>
          <w:color w:val="000000"/>
          <w:kern w:val="0"/>
          <w:sz w:val="20"/>
          <w:szCs w:val="20"/>
          <w:lang w:eastAsia="en-CA"/>
          <w14:ligatures w14:val="none"/>
        </w:rPr>
        <w:br/>
        <w:t>Toronto Region Board of Trade</w:t>
      </w:r>
      <w:r w:rsidRPr="0074455A">
        <w:rPr>
          <w:rFonts w:ascii="Open Sans" w:eastAsia="Times New Roman" w:hAnsi="Open Sans" w:cs="Open Sans"/>
          <w:color w:val="000000"/>
          <w:kern w:val="0"/>
          <w:sz w:val="20"/>
          <w:szCs w:val="20"/>
          <w:lang w:eastAsia="en-CA"/>
          <w14:ligatures w14:val="none"/>
        </w:rPr>
        <w:br/>
        <w:t> </w:t>
      </w:r>
    </w:p>
    <w:p w14:paraId="21EE792A" w14:textId="77777777" w:rsidR="0074455A" w:rsidRPr="0074455A" w:rsidRDefault="0074455A" w:rsidP="0074455A">
      <w:pPr>
        <w:shd w:val="clear" w:color="auto" w:fill="FFFFFF"/>
        <w:spacing w:after="150" w:line="240" w:lineRule="auto"/>
        <w:rPr>
          <w:rFonts w:ascii="Open Sans" w:eastAsia="Times New Roman" w:hAnsi="Open Sans" w:cs="Open Sans"/>
          <w:color w:val="000000"/>
          <w:kern w:val="0"/>
          <w:sz w:val="20"/>
          <w:szCs w:val="20"/>
          <w:lang w:eastAsia="en-CA"/>
          <w14:ligatures w14:val="none"/>
        </w:rPr>
      </w:pPr>
      <w:r w:rsidRPr="0074455A">
        <w:rPr>
          <w:rFonts w:ascii="Open Sans" w:eastAsia="Times New Roman" w:hAnsi="Open Sans" w:cs="Open Sans"/>
          <w:color w:val="000000"/>
          <w:kern w:val="0"/>
          <w:sz w:val="20"/>
          <w:szCs w:val="20"/>
          <w:lang w:eastAsia="en-CA"/>
          <w14:ligatures w14:val="none"/>
        </w:rPr>
        <w:t>Subject to change</w:t>
      </w:r>
    </w:p>
    <w:tbl>
      <w:tblPr>
        <w:tblpPr w:leftFromText="45" w:rightFromText="45" w:bottomFromText="150" w:vertAnchor="text"/>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40"/>
        <w:gridCol w:w="7020"/>
      </w:tblGrid>
      <w:tr w:rsidR="0074455A" w:rsidRPr="0074455A" w14:paraId="3E9CF63A" w14:textId="77777777" w:rsidTr="0074455A">
        <w:trPr>
          <w:tblHeader/>
        </w:trPr>
        <w:tc>
          <w:tcPr>
            <w:tcW w:w="0" w:type="auto"/>
            <w:gridSpan w:val="2"/>
            <w:tcBorders>
              <w:top w:val="nil"/>
              <w:left w:val="nil"/>
              <w:bottom w:val="nil"/>
              <w:right w:val="nil"/>
            </w:tcBorders>
            <w:shd w:val="clear" w:color="auto" w:fill="F7F5F6"/>
            <w:tcMar>
              <w:top w:w="120" w:type="dxa"/>
              <w:left w:w="150" w:type="dxa"/>
              <w:bottom w:w="135" w:type="dxa"/>
              <w:right w:w="150" w:type="dxa"/>
            </w:tcMar>
            <w:vAlign w:val="center"/>
            <w:hideMark/>
          </w:tcPr>
          <w:p w14:paraId="54AAFC46" w14:textId="77777777" w:rsidR="0074455A" w:rsidRPr="0074455A" w:rsidRDefault="0074455A" w:rsidP="0074455A">
            <w:pPr>
              <w:spacing w:before="225" w:after="225" w:line="240" w:lineRule="auto"/>
              <w:rPr>
                <w:rFonts w:ascii="Open Sans" w:eastAsia="Times New Roman" w:hAnsi="Open Sans" w:cs="Open Sans"/>
                <w:caps/>
                <w:color w:val="000000"/>
                <w:kern w:val="0"/>
                <w:sz w:val="20"/>
                <w:szCs w:val="20"/>
                <w:lang w:eastAsia="en-CA"/>
                <w14:ligatures w14:val="none"/>
              </w:rPr>
            </w:pPr>
            <w:r w:rsidRPr="0074455A">
              <w:rPr>
                <w:rFonts w:ascii="Open Sans" w:eastAsia="Times New Roman" w:hAnsi="Open Sans" w:cs="Open Sans"/>
                <w:caps/>
                <w:color w:val="000000"/>
                <w:kern w:val="0"/>
                <w:sz w:val="20"/>
                <w:szCs w:val="20"/>
                <w:lang w:eastAsia="en-CA"/>
                <w14:ligatures w14:val="none"/>
              </w:rPr>
              <w:t>FRIDAY, MAY 12</w:t>
            </w:r>
          </w:p>
        </w:tc>
      </w:tr>
      <w:tr w:rsidR="0074455A" w:rsidRPr="0074455A" w14:paraId="7115D73F" w14:textId="77777777" w:rsidTr="0074455A">
        <w:trPr>
          <w:tblHeader/>
        </w:trPr>
        <w:tc>
          <w:tcPr>
            <w:tcW w:w="1250" w:type="pct"/>
            <w:tcBorders>
              <w:top w:val="single" w:sz="6" w:space="0" w:color="DDDDDD"/>
              <w:left w:val="single" w:sz="6" w:space="0" w:color="DDDDDD"/>
              <w:bottom w:val="single" w:sz="6" w:space="0" w:color="DDDDDD"/>
              <w:right w:val="single" w:sz="6" w:space="0" w:color="DDDDDD"/>
            </w:tcBorders>
            <w:shd w:val="clear" w:color="auto" w:fill="F7F5F6"/>
            <w:tcMar>
              <w:top w:w="120" w:type="dxa"/>
              <w:left w:w="150" w:type="dxa"/>
              <w:bottom w:w="135" w:type="dxa"/>
              <w:right w:w="150" w:type="dxa"/>
            </w:tcMar>
            <w:vAlign w:val="center"/>
            <w:hideMark/>
          </w:tcPr>
          <w:p w14:paraId="269EDF05" w14:textId="77777777" w:rsidR="0074455A" w:rsidRPr="0074455A" w:rsidRDefault="0074455A" w:rsidP="0074455A">
            <w:pPr>
              <w:spacing w:after="0" w:line="270" w:lineRule="atLeast"/>
              <w:rPr>
                <w:rFonts w:ascii="Open Sans" w:eastAsia="Times New Roman" w:hAnsi="Open Sans" w:cs="Open Sans"/>
                <w:b/>
                <w:bCs/>
                <w:caps/>
                <w:color w:val="222222"/>
                <w:kern w:val="0"/>
                <w:sz w:val="20"/>
                <w:szCs w:val="20"/>
                <w:lang w:eastAsia="en-CA"/>
                <w14:ligatures w14:val="none"/>
              </w:rPr>
            </w:pPr>
            <w:r w:rsidRPr="0074455A">
              <w:rPr>
                <w:rFonts w:ascii="Open Sans" w:eastAsia="Times New Roman" w:hAnsi="Open Sans" w:cs="Open Sans"/>
                <w:b/>
                <w:bCs/>
                <w:caps/>
                <w:color w:val="222222"/>
                <w:kern w:val="0"/>
                <w:sz w:val="20"/>
                <w:szCs w:val="20"/>
                <w:lang w:eastAsia="en-CA"/>
                <w14:ligatures w14:val="none"/>
              </w:rPr>
              <w:t>TIME</w:t>
            </w:r>
          </w:p>
        </w:tc>
        <w:tc>
          <w:tcPr>
            <w:tcW w:w="3750" w:type="pct"/>
            <w:tcBorders>
              <w:top w:val="single" w:sz="6" w:space="0" w:color="DDDDDD"/>
              <w:left w:val="single" w:sz="6" w:space="0" w:color="DDDDDD"/>
              <w:bottom w:val="single" w:sz="6" w:space="0" w:color="DDDDDD"/>
              <w:right w:val="single" w:sz="6" w:space="0" w:color="DDDDDD"/>
            </w:tcBorders>
            <w:shd w:val="clear" w:color="auto" w:fill="F7F5F6"/>
            <w:tcMar>
              <w:top w:w="120" w:type="dxa"/>
              <w:left w:w="150" w:type="dxa"/>
              <w:bottom w:w="135" w:type="dxa"/>
              <w:right w:w="150" w:type="dxa"/>
            </w:tcMar>
            <w:vAlign w:val="center"/>
            <w:hideMark/>
          </w:tcPr>
          <w:p w14:paraId="37DE9563" w14:textId="77777777" w:rsidR="0074455A" w:rsidRPr="0074455A" w:rsidRDefault="0074455A" w:rsidP="0074455A">
            <w:pPr>
              <w:spacing w:after="0" w:line="270" w:lineRule="atLeast"/>
              <w:rPr>
                <w:rFonts w:ascii="Open Sans" w:eastAsia="Times New Roman" w:hAnsi="Open Sans" w:cs="Open Sans"/>
                <w:b/>
                <w:bCs/>
                <w:caps/>
                <w:color w:val="222222"/>
                <w:kern w:val="0"/>
                <w:sz w:val="20"/>
                <w:szCs w:val="20"/>
                <w:lang w:eastAsia="en-CA"/>
                <w14:ligatures w14:val="none"/>
              </w:rPr>
            </w:pPr>
            <w:r w:rsidRPr="0074455A">
              <w:rPr>
                <w:rFonts w:ascii="Open Sans" w:eastAsia="Times New Roman" w:hAnsi="Open Sans" w:cs="Open Sans"/>
                <w:b/>
                <w:bCs/>
                <w:caps/>
                <w:color w:val="222222"/>
                <w:kern w:val="0"/>
                <w:sz w:val="20"/>
                <w:szCs w:val="20"/>
                <w:lang w:eastAsia="en-CA"/>
                <w14:ligatures w14:val="none"/>
              </w:rPr>
              <w:t>EVENT</w:t>
            </w:r>
          </w:p>
        </w:tc>
      </w:tr>
      <w:tr w:rsidR="0074455A" w:rsidRPr="0074455A" w14:paraId="44F1E27B"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6DEF7562"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8:00 am – 8:30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16772737"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Registration and Breakfast</w:t>
            </w:r>
          </w:p>
          <w:p w14:paraId="74283122"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tc>
      </w:tr>
      <w:tr w:rsidR="0074455A" w:rsidRPr="0074455A" w14:paraId="5F4998E9"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0E8A6FB7"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8:30 am – 8:35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6FEC6996"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Opening Remarks</w:t>
            </w:r>
          </w:p>
          <w:p w14:paraId="5B9BA2D7"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7CC2FBFA"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Co-Chairs:</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Nicole D’Aoust</w:t>
            </w:r>
            <w:r w:rsidRPr="0074455A">
              <w:rPr>
                <w:rFonts w:ascii="Open Sans" w:eastAsia="Times New Roman" w:hAnsi="Open Sans" w:cs="Open Sans"/>
                <w:color w:val="333333"/>
                <w:kern w:val="0"/>
                <w:sz w:val="20"/>
                <w:szCs w:val="20"/>
                <w:lang w:eastAsia="en-CA"/>
                <w14:ligatures w14:val="none"/>
              </w:rPr>
              <w:t>, Miller Thomson LLP (Toronto, ON)</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Karen Cooper</w:t>
            </w:r>
            <w:r w:rsidRPr="0074455A">
              <w:rPr>
                <w:rFonts w:ascii="Open Sans" w:eastAsia="Times New Roman" w:hAnsi="Open Sans" w:cs="Open Sans"/>
                <w:color w:val="333333"/>
                <w:kern w:val="0"/>
                <w:sz w:val="20"/>
                <w:szCs w:val="20"/>
                <w:lang w:eastAsia="en-CA"/>
                <w14:ligatures w14:val="none"/>
              </w:rPr>
              <w:t>, KPMG Law LLP (Ottawa, ON)</w:t>
            </w:r>
          </w:p>
        </w:tc>
      </w:tr>
      <w:tr w:rsidR="0074455A" w:rsidRPr="0074455A" w14:paraId="36D7C3CD"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257BFC7C"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8:30 am – 9:10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2091F2B9"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Case Law Update: An Update on Noteworthy Cases from 2022-2023</w:t>
            </w:r>
          </w:p>
          <w:p w14:paraId="1A19563C" w14:textId="3ED05DC1"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Sponsor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noProof/>
                <w:color w:val="1A3989"/>
                <w:kern w:val="0"/>
                <w:sz w:val="20"/>
                <w:szCs w:val="20"/>
                <w:lang w:eastAsia="en-CA"/>
                <w14:ligatures w14:val="none"/>
              </w:rPr>
              <w:drawing>
                <wp:inline distT="0" distB="0" distL="0" distR="0" wp14:anchorId="39FDAC39" wp14:editId="32D55FFE">
                  <wp:extent cx="1905000" cy="952500"/>
                  <wp:effectExtent l="0" t="0" r="0" b="0"/>
                  <wp:docPr id="1334098322" name="Picture 4" descr="Gardiner Roberts LL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iner Roberts LL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590E0A05"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0AA353F0"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Speakers:</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Kristina Roberts</w:t>
            </w:r>
            <w:r w:rsidRPr="0074455A">
              <w:rPr>
                <w:rFonts w:ascii="Open Sans" w:eastAsia="Times New Roman" w:hAnsi="Open Sans" w:cs="Open Sans"/>
                <w:color w:val="333333"/>
                <w:kern w:val="0"/>
                <w:sz w:val="20"/>
                <w:szCs w:val="20"/>
                <w:lang w:eastAsia="en-CA"/>
                <w14:ligatures w14:val="none"/>
              </w:rPr>
              <w:t>, Miller Thomson LLP (Calgary, AB)</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lastRenderedPageBreak/>
              <w:t xml:space="preserve">Heather </w:t>
            </w:r>
            <w:proofErr w:type="spellStart"/>
            <w:r w:rsidRPr="0074455A">
              <w:rPr>
                <w:rFonts w:ascii="Open Sans" w:eastAsia="Times New Roman" w:hAnsi="Open Sans" w:cs="Open Sans"/>
                <w:b/>
                <w:bCs/>
                <w:color w:val="333333"/>
                <w:kern w:val="0"/>
                <w:sz w:val="20"/>
                <w:szCs w:val="20"/>
                <w:lang w:eastAsia="en-CA"/>
                <w14:ligatures w14:val="none"/>
              </w:rPr>
              <w:t>Keachie</w:t>
            </w:r>
            <w:proofErr w:type="spellEnd"/>
            <w:r w:rsidRPr="0074455A">
              <w:rPr>
                <w:rFonts w:ascii="Open Sans" w:eastAsia="Times New Roman" w:hAnsi="Open Sans" w:cs="Open Sans"/>
                <w:color w:val="333333"/>
                <w:kern w:val="0"/>
                <w:sz w:val="20"/>
                <w:szCs w:val="20"/>
                <w:lang w:eastAsia="en-CA"/>
                <w14:ligatures w14:val="none"/>
              </w:rPr>
              <w:t>, Gardiner Roberts LLP (Toronto, ON)</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Brian Milne</w:t>
            </w:r>
            <w:r w:rsidRPr="0074455A">
              <w:rPr>
                <w:rFonts w:ascii="Open Sans" w:eastAsia="Times New Roman" w:hAnsi="Open Sans" w:cs="Open Sans"/>
                <w:color w:val="333333"/>
                <w:kern w:val="0"/>
                <w:sz w:val="20"/>
                <w:szCs w:val="20"/>
                <w:lang w:eastAsia="en-CA"/>
                <w14:ligatures w14:val="none"/>
              </w:rPr>
              <w:t>, Norton Rose Fullbright (Calgary, AB)</w:t>
            </w:r>
          </w:p>
        </w:tc>
      </w:tr>
      <w:tr w:rsidR="0074455A" w:rsidRPr="0074455A" w14:paraId="5493C559"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0E7F705C"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9:10 am – 9:30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4A062794"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Donation of Private Corporation Shares</w:t>
            </w:r>
          </w:p>
          <w:p w14:paraId="69292E68"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r w:rsidRPr="0074455A">
              <w:rPr>
                <w:rFonts w:ascii="Open Sans" w:eastAsia="Times New Roman" w:hAnsi="Open Sans" w:cs="Open Sans"/>
                <w:color w:val="333333"/>
                <w:kern w:val="0"/>
                <w:sz w:val="20"/>
                <w:szCs w:val="20"/>
                <w:lang w:eastAsia="en-CA"/>
                <w14:ligatures w14:val="none"/>
              </w:rPr>
              <w:br/>
              <w:t> </w:t>
            </w:r>
          </w:p>
          <w:p w14:paraId="6BE63D38"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The $500 million gift of private company shares to The Winnipeg Foundation has highlighted the potential for transformative gifts to be made by way of private company shares. This presentation will discuss the rules and issues to consider when contemplating these gifts.</w:t>
            </w:r>
          </w:p>
          <w:p w14:paraId="7AC78DB1"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Florence Carey</w:t>
            </w:r>
            <w:r w:rsidRPr="0074455A">
              <w:rPr>
                <w:rFonts w:ascii="Open Sans" w:eastAsia="Times New Roman" w:hAnsi="Open Sans" w:cs="Open Sans"/>
                <w:color w:val="333333"/>
                <w:kern w:val="0"/>
                <w:sz w:val="20"/>
                <w:szCs w:val="20"/>
                <w:lang w:eastAsia="en-CA"/>
                <w14:ligatures w14:val="none"/>
              </w:rPr>
              <w:t>, F I Carey Law Corporation (Winnipeg, MB)</w:t>
            </w:r>
          </w:p>
        </w:tc>
      </w:tr>
      <w:tr w:rsidR="0074455A" w:rsidRPr="0074455A" w14:paraId="25860204"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4406BF86"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9:30 am – 10:00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51EE4980"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Examining the Fairness of the CRA's Audit Process for Charities</w:t>
            </w:r>
          </w:p>
          <w:p w14:paraId="3D869AD4"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6FEE7CFF"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Introduction:  Terry Carter</w:t>
            </w:r>
            <w:r w:rsidRPr="0074455A">
              <w:rPr>
                <w:rFonts w:ascii="Open Sans" w:eastAsia="Times New Roman" w:hAnsi="Open Sans" w:cs="Open Sans"/>
                <w:color w:val="333333"/>
                <w:kern w:val="0"/>
                <w:sz w:val="20"/>
                <w:szCs w:val="20"/>
                <w:lang w:eastAsia="en-CA"/>
                <w14:ligatures w14:val="none"/>
              </w:rPr>
              <w:t>, Carters LLP (Orangeville, ON)</w:t>
            </w:r>
          </w:p>
          <w:p w14:paraId="2B3E3581"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 xml:space="preserve">On March 27, 2023, the Taxpayers' Ombudsperson released his report, Charity Begins with Fairness: More to Explore, detailing his Office's investigation into issues raised by certain Muslim-led charities about the fairness of the CRA's audit process. He will present the legal obstacles encountered during the examination as well as the report's findings and </w:t>
            </w:r>
            <w:proofErr w:type="gramStart"/>
            <w:r w:rsidRPr="0074455A">
              <w:rPr>
                <w:rFonts w:ascii="Open Sans" w:eastAsia="Times New Roman" w:hAnsi="Open Sans" w:cs="Open Sans"/>
                <w:color w:val="333333"/>
                <w:kern w:val="0"/>
                <w:sz w:val="20"/>
                <w:szCs w:val="20"/>
                <w:lang w:eastAsia="en-CA"/>
                <w14:ligatures w14:val="none"/>
              </w:rPr>
              <w:t>recommendations .</w:t>
            </w:r>
            <w:proofErr w:type="gramEnd"/>
          </w:p>
          <w:p w14:paraId="0C975AE0"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François Boileau</w:t>
            </w:r>
            <w:r w:rsidRPr="0074455A">
              <w:rPr>
                <w:rFonts w:ascii="Open Sans" w:eastAsia="Times New Roman" w:hAnsi="Open Sans" w:cs="Open Sans"/>
                <w:color w:val="333333"/>
                <w:kern w:val="0"/>
                <w:sz w:val="20"/>
                <w:szCs w:val="20"/>
                <w:lang w:eastAsia="en-CA"/>
                <w14:ligatures w14:val="none"/>
              </w:rPr>
              <w:t>, Taxpayers' Ombudsperson (Ottawa, ON)</w:t>
            </w:r>
          </w:p>
        </w:tc>
      </w:tr>
      <w:tr w:rsidR="0074455A" w:rsidRPr="0074455A" w14:paraId="48CF1A8C"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2108279A"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10:00 am – 10:30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50E3F1BF"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Legal Approaches to Remedying Bias (Part I)</w:t>
            </w:r>
          </w:p>
          <w:p w14:paraId="53BE0C12"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3CE1E6A8"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The Muslim Association of Canada (“MAC”) has launched a court application that alleges bias, islamophobia, and infringement of MAC’s </w:t>
            </w:r>
            <w:r w:rsidRPr="0074455A">
              <w:rPr>
                <w:rFonts w:ascii="Open Sans" w:eastAsia="Times New Roman" w:hAnsi="Open Sans" w:cs="Open Sans"/>
                <w:i/>
                <w:iCs/>
                <w:color w:val="333333"/>
                <w:kern w:val="0"/>
                <w:sz w:val="20"/>
                <w:szCs w:val="20"/>
                <w:lang w:eastAsia="en-CA"/>
                <w14:ligatures w14:val="none"/>
              </w:rPr>
              <w:t>Charter</w:t>
            </w:r>
            <w:r w:rsidRPr="0074455A">
              <w:rPr>
                <w:rFonts w:ascii="Open Sans" w:eastAsia="Times New Roman" w:hAnsi="Open Sans" w:cs="Open Sans"/>
                <w:color w:val="333333"/>
                <w:kern w:val="0"/>
                <w:sz w:val="20"/>
                <w:szCs w:val="20"/>
                <w:lang w:eastAsia="en-CA"/>
                <w14:ligatures w14:val="none"/>
              </w:rPr>
              <w:t> rights by CRA during an audit. Geoff Hall, counsel for MAC, will present the </w:t>
            </w:r>
            <w:r w:rsidRPr="0074455A">
              <w:rPr>
                <w:rFonts w:ascii="Open Sans" w:eastAsia="Times New Roman" w:hAnsi="Open Sans" w:cs="Open Sans"/>
                <w:i/>
                <w:iCs/>
                <w:color w:val="333333"/>
                <w:kern w:val="0"/>
                <w:sz w:val="20"/>
                <w:szCs w:val="20"/>
                <w:lang w:eastAsia="en-CA"/>
                <w14:ligatures w14:val="none"/>
              </w:rPr>
              <w:t>Charter</w:t>
            </w:r>
            <w:r w:rsidRPr="0074455A">
              <w:rPr>
                <w:rFonts w:ascii="Open Sans" w:eastAsia="Times New Roman" w:hAnsi="Open Sans" w:cs="Open Sans"/>
                <w:color w:val="333333"/>
                <w:kern w:val="0"/>
                <w:sz w:val="20"/>
                <w:szCs w:val="20"/>
                <w:lang w:eastAsia="en-CA"/>
                <w14:ligatures w14:val="none"/>
              </w:rPr>
              <w:t> arguments being advanced in this case.</w:t>
            </w:r>
          </w:p>
          <w:p w14:paraId="415A85E3"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Geoff Hall</w:t>
            </w:r>
            <w:r w:rsidRPr="0074455A">
              <w:rPr>
                <w:rFonts w:ascii="Open Sans" w:eastAsia="Times New Roman" w:hAnsi="Open Sans" w:cs="Open Sans"/>
                <w:color w:val="333333"/>
                <w:kern w:val="0"/>
                <w:sz w:val="20"/>
                <w:szCs w:val="20"/>
                <w:lang w:eastAsia="en-CA"/>
                <w14:ligatures w14:val="none"/>
              </w:rPr>
              <w:t>, McCarthy Tétrault LLP (Toronto, ON)</w:t>
            </w:r>
          </w:p>
        </w:tc>
      </w:tr>
      <w:tr w:rsidR="0074455A" w:rsidRPr="0074455A" w14:paraId="2239463E"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4C3A58D5"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10:30 am – 11:00 am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756EB366"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Refreshment Break</w:t>
            </w:r>
          </w:p>
          <w:p w14:paraId="32E54FF5" w14:textId="6603E92E"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Sponsor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noProof/>
                <w:color w:val="1A3989"/>
                <w:kern w:val="0"/>
                <w:sz w:val="20"/>
                <w:szCs w:val="20"/>
                <w:lang w:eastAsia="en-CA"/>
                <w14:ligatures w14:val="none"/>
              </w:rPr>
              <w:drawing>
                <wp:inline distT="0" distB="0" distL="0" distR="0" wp14:anchorId="53C4E21E" wp14:editId="163E104C">
                  <wp:extent cx="1905000" cy="952500"/>
                  <wp:effectExtent l="0" t="0" r="0" b="0"/>
                  <wp:docPr id="901269819" name="Picture 3" descr="Carters Professional Corpora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rs Professional Corporati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Pr="0074455A">
              <w:rPr>
                <w:rFonts w:ascii="Open Sans" w:eastAsia="Times New Roman" w:hAnsi="Open Sans" w:cs="Open Sans"/>
                <w:color w:val="333333"/>
                <w:kern w:val="0"/>
                <w:sz w:val="20"/>
                <w:szCs w:val="20"/>
                <w:lang w:eastAsia="en-CA"/>
                <w14:ligatures w14:val="none"/>
              </w:rPr>
              <w:br/>
              <w:t>Meeting Foyer</w:t>
            </w:r>
          </w:p>
        </w:tc>
      </w:tr>
      <w:tr w:rsidR="0074455A" w:rsidRPr="0074455A" w14:paraId="3A8803AA"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0A488301"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11:00 am – 12:00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1AD685F9"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Legal Approaches to Remedying Bias (Part II)</w:t>
            </w:r>
          </w:p>
          <w:p w14:paraId="32DE554F" w14:textId="702588F9"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Sponsor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noProof/>
                <w:color w:val="1A3989"/>
                <w:kern w:val="0"/>
                <w:sz w:val="20"/>
                <w:szCs w:val="20"/>
                <w:lang w:eastAsia="en-CA"/>
                <w14:ligatures w14:val="none"/>
              </w:rPr>
              <w:drawing>
                <wp:inline distT="0" distB="0" distL="0" distR="0" wp14:anchorId="432389D1" wp14:editId="4FE3C5BB">
                  <wp:extent cx="1905000" cy="952500"/>
                  <wp:effectExtent l="0" t="0" r="0" b="0"/>
                  <wp:docPr id="1814615520" name="Picture 2" descr="Miller Thomson LL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ler Thomson LLP">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167B85DA"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1BCAC0FB"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This presentation will address the following topics: (1) the limits of the common law related to charity and bias, specifically advancement of religion and the principle of public benefit; and (2) administrative law remedies that are available to deal with bias. The presentation will conclude with a panel discussion moderated by Terry Carter.</w:t>
            </w:r>
          </w:p>
          <w:p w14:paraId="4C5A2D48"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Speakers:</w:t>
            </w:r>
            <w:r w:rsidRPr="0074455A">
              <w:rPr>
                <w:rFonts w:ascii="Open Sans" w:eastAsia="Times New Roman" w:hAnsi="Open Sans" w:cs="Open Sans"/>
                <w:color w:val="333333"/>
                <w:kern w:val="0"/>
                <w:sz w:val="20"/>
                <w:szCs w:val="20"/>
                <w:lang w:eastAsia="en-CA"/>
                <w14:ligatures w14:val="none"/>
              </w:rPr>
              <w:br/>
            </w:r>
            <w:proofErr w:type="spellStart"/>
            <w:r w:rsidRPr="0074455A">
              <w:rPr>
                <w:rFonts w:ascii="Open Sans" w:eastAsia="Times New Roman" w:hAnsi="Open Sans" w:cs="Open Sans"/>
                <w:b/>
                <w:bCs/>
                <w:color w:val="333333"/>
                <w:kern w:val="0"/>
                <w:sz w:val="20"/>
                <w:szCs w:val="20"/>
                <w:lang w:eastAsia="en-CA"/>
                <w14:ligatures w14:val="none"/>
              </w:rPr>
              <w:t>Anver</w:t>
            </w:r>
            <w:proofErr w:type="spellEnd"/>
            <w:r w:rsidRPr="0074455A">
              <w:rPr>
                <w:rFonts w:ascii="Open Sans" w:eastAsia="Times New Roman" w:hAnsi="Open Sans" w:cs="Open Sans"/>
                <w:b/>
                <w:bCs/>
                <w:color w:val="333333"/>
                <w:kern w:val="0"/>
                <w:sz w:val="20"/>
                <w:szCs w:val="20"/>
                <w:lang w:eastAsia="en-CA"/>
                <w14:ligatures w14:val="none"/>
              </w:rPr>
              <w:t xml:space="preserve"> Emon</w:t>
            </w:r>
            <w:r w:rsidRPr="0074455A">
              <w:rPr>
                <w:rFonts w:ascii="Open Sans" w:eastAsia="Times New Roman" w:hAnsi="Open Sans" w:cs="Open Sans"/>
                <w:color w:val="333333"/>
                <w:kern w:val="0"/>
                <w:sz w:val="20"/>
                <w:szCs w:val="20"/>
                <w:lang w:eastAsia="en-CA"/>
                <w14:ligatures w14:val="none"/>
              </w:rPr>
              <w:t>, University of Toronto Faculty of Law (Toronto, ON)</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Molly Luu</w:t>
            </w:r>
            <w:r w:rsidRPr="0074455A">
              <w:rPr>
                <w:rFonts w:ascii="Open Sans" w:eastAsia="Times New Roman" w:hAnsi="Open Sans" w:cs="Open Sans"/>
                <w:color w:val="333333"/>
                <w:kern w:val="0"/>
                <w:sz w:val="20"/>
                <w:szCs w:val="20"/>
                <w:lang w:eastAsia="en-CA"/>
                <w14:ligatures w14:val="none"/>
              </w:rPr>
              <w:t>, Miller Thomson LLP (Toronto, ON)</w:t>
            </w:r>
          </w:p>
        </w:tc>
      </w:tr>
      <w:tr w:rsidR="0074455A" w:rsidRPr="0074455A" w14:paraId="4AEBB3C0"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0F0168CD"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12:00 pm – 12:30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441E445C"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Panel Discussion - Legal Approaches to Remedying Bias</w:t>
            </w:r>
          </w:p>
          <w:p w14:paraId="583146A0"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756F53B8"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Moderator: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Terry Carter</w:t>
            </w:r>
            <w:r w:rsidRPr="0074455A">
              <w:rPr>
                <w:rFonts w:ascii="Open Sans" w:eastAsia="Times New Roman" w:hAnsi="Open Sans" w:cs="Open Sans"/>
                <w:color w:val="333333"/>
                <w:kern w:val="0"/>
                <w:sz w:val="20"/>
                <w:szCs w:val="20"/>
                <w:lang w:eastAsia="en-CA"/>
                <w14:ligatures w14:val="none"/>
              </w:rPr>
              <w:t>, Carters LLP (Orangeville, ON)</w:t>
            </w:r>
          </w:p>
        </w:tc>
      </w:tr>
      <w:tr w:rsidR="0074455A" w:rsidRPr="0074455A" w14:paraId="60A7ABB3"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4F5BBAF8"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12:30 pm – 1:00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0D209D5B"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Luncheon</w:t>
            </w:r>
          </w:p>
          <w:p w14:paraId="374156B2"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tc>
      </w:tr>
      <w:tr w:rsidR="0074455A" w:rsidRPr="0074455A" w14:paraId="2B0E95B8"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1B72E558"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1:00 pm – 1:30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21D5295A"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CRA Comes to Lunch</w:t>
            </w:r>
          </w:p>
          <w:p w14:paraId="09A02702"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60052BE0"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An update on the work of the Charities Directorate and its ongoing initiatives.</w:t>
            </w:r>
          </w:p>
          <w:p w14:paraId="41711A66"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Sharmila Khare</w:t>
            </w:r>
            <w:r w:rsidRPr="0074455A">
              <w:rPr>
                <w:rFonts w:ascii="Open Sans" w:eastAsia="Times New Roman" w:hAnsi="Open Sans" w:cs="Open Sans"/>
                <w:color w:val="333333"/>
                <w:kern w:val="0"/>
                <w:sz w:val="20"/>
                <w:szCs w:val="20"/>
                <w:lang w:eastAsia="en-CA"/>
                <w14:ligatures w14:val="none"/>
              </w:rPr>
              <w:t>, Director General, Canada Revenue Agency (Ottawa, ON)</w:t>
            </w:r>
          </w:p>
        </w:tc>
      </w:tr>
      <w:tr w:rsidR="0074455A" w:rsidRPr="0074455A" w14:paraId="752D41B6"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69928570"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1:30 pm – 1:45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35161279"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CBA Jane Burke-Robertson Award of Excellence in Charity and Not-For-Profit Law Presentation</w:t>
            </w:r>
          </w:p>
          <w:p w14:paraId="2ACF7E4E"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tc>
      </w:tr>
      <w:tr w:rsidR="0074455A" w:rsidRPr="0074455A" w14:paraId="48B8EA1C"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643ED8FA"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1:45 pm – 1:50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5A16E462"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CBA Charities and Not-for-Profit Law Student Essay Contest Presentation</w:t>
            </w:r>
          </w:p>
          <w:p w14:paraId="3B445D37"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tc>
      </w:tr>
      <w:tr w:rsidR="0074455A" w:rsidRPr="0074455A" w14:paraId="42FF001C"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78FA19EC"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1:50 pm – 2:20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2DC16633"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Primer on Donor Advised Funds and Current Issues: Revisited</w:t>
            </w:r>
          </w:p>
          <w:p w14:paraId="6F7A88EB"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4AE389C5"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This presentation will feature an update on donor advised funds, the new disbursement quota rules in the </w:t>
            </w:r>
            <w:r w:rsidRPr="0074455A">
              <w:rPr>
                <w:rFonts w:ascii="Open Sans" w:eastAsia="Times New Roman" w:hAnsi="Open Sans" w:cs="Open Sans"/>
                <w:i/>
                <w:iCs/>
                <w:color w:val="333333"/>
                <w:kern w:val="0"/>
                <w:sz w:val="20"/>
                <w:szCs w:val="20"/>
                <w:lang w:eastAsia="en-CA"/>
                <w14:ligatures w14:val="none"/>
              </w:rPr>
              <w:t>Income Tax Act</w:t>
            </w:r>
            <w:r w:rsidRPr="0074455A">
              <w:rPr>
                <w:rFonts w:ascii="Open Sans" w:eastAsia="Times New Roman" w:hAnsi="Open Sans" w:cs="Open Sans"/>
                <w:color w:val="333333"/>
                <w:kern w:val="0"/>
                <w:sz w:val="20"/>
                <w:szCs w:val="20"/>
                <w:lang w:eastAsia="en-CA"/>
                <w14:ligatures w14:val="none"/>
              </w:rPr>
              <w:t> (Canada), and proposed changes to T3010 reporting.</w:t>
            </w:r>
          </w:p>
          <w:p w14:paraId="162921B6"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 xml:space="preserve">Jacqueline </w:t>
            </w:r>
            <w:proofErr w:type="spellStart"/>
            <w:r w:rsidRPr="0074455A">
              <w:rPr>
                <w:rFonts w:ascii="Open Sans" w:eastAsia="Times New Roman" w:hAnsi="Open Sans" w:cs="Open Sans"/>
                <w:b/>
                <w:bCs/>
                <w:color w:val="333333"/>
                <w:kern w:val="0"/>
                <w:sz w:val="20"/>
                <w:szCs w:val="20"/>
                <w:lang w:eastAsia="en-CA"/>
                <w14:ligatures w14:val="none"/>
              </w:rPr>
              <w:t>Demczur</w:t>
            </w:r>
            <w:proofErr w:type="spellEnd"/>
            <w:r w:rsidRPr="0074455A">
              <w:rPr>
                <w:rFonts w:ascii="Open Sans" w:eastAsia="Times New Roman" w:hAnsi="Open Sans" w:cs="Open Sans"/>
                <w:color w:val="333333"/>
                <w:kern w:val="0"/>
                <w:sz w:val="20"/>
                <w:szCs w:val="20"/>
                <w:lang w:eastAsia="en-CA"/>
                <w14:ligatures w14:val="none"/>
              </w:rPr>
              <w:t>, Carters Professional Corporation (Orangeville, ON)</w:t>
            </w:r>
          </w:p>
        </w:tc>
      </w:tr>
      <w:tr w:rsidR="0074455A" w:rsidRPr="0074455A" w14:paraId="3E8910D7"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4BB40677"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2:20 pm – 2:40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5468EA55"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Refreshment Break</w:t>
            </w:r>
          </w:p>
          <w:p w14:paraId="57F29652" w14:textId="3B389B1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Sponsor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noProof/>
                <w:color w:val="1A3989"/>
                <w:kern w:val="0"/>
                <w:sz w:val="20"/>
                <w:szCs w:val="20"/>
                <w:lang w:eastAsia="en-CA"/>
                <w14:ligatures w14:val="none"/>
              </w:rPr>
              <w:drawing>
                <wp:inline distT="0" distB="0" distL="0" distR="0" wp14:anchorId="456AE680" wp14:editId="3CD7BB48">
                  <wp:extent cx="1905000" cy="952500"/>
                  <wp:effectExtent l="0" t="0" r="0" b="0"/>
                  <wp:docPr id="321229742" name="Picture 1" descr="Norton Rose Fullbright Canada LLP / S.E.N.C.R.L., s.r.l.">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on Rose Fullbright Canada LLP / S.E.N.C.R.L., s.r.l.">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107DA0A8"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Foyer</w:t>
            </w:r>
          </w:p>
        </w:tc>
      </w:tr>
      <w:tr w:rsidR="0074455A" w:rsidRPr="0074455A" w14:paraId="42D3569D"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2B57F0B5"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2:40 pm – 3:10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67BA191B"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New Qualifying Disbursement Rules</w:t>
            </w:r>
          </w:p>
          <w:p w14:paraId="69621A57"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73996D45"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This presentation will discuss the new qualifying disbursement rules in the </w:t>
            </w:r>
            <w:r w:rsidRPr="0074455A">
              <w:rPr>
                <w:rFonts w:ascii="Open Sans" w:eastAsia="Times New Roman" w:hAnsi="Open Sans" w:cs="Open Sans"/>
                <w:i/>
                <w:iCs/>
                <w:color w:val="333333"/>
                <w:kern w:val="0"/>
                <w:sz w:val="20"/>
                <w:szCs w:val="20"/>
                <w:lang w:eastAsia="en-CA"/>
                <w14:ligatures w14:val="none"/>
              </w:rPr>
              <w:t>Income Tax Act</w:t>
            </w:r>
            <w:r w:rsidRPr="0074455A">
              <w:rPr>
                <w:rFonts w:ascii="Open Sans" w:eastAsia="Times New Roman" w:hAnsi="Open Sans" w:cs="Open Sans"/>
                <w:color w:val="333333"/>
                <w:kern w:val="0"/>
                <w:sz w:val="20"/>
                <w:szCs w:val="20"/>
                <w:lang w:eastAsia="en-CA"/>
                <w14:ligatures w14:val="none"/>
              </w:rPr>
              <w:t xml:space="preserve"> (Canada), as well as CRA’s draft guidance on the new rules and public consultation </w:t>
            </w:r>
            <w:proofErr w:type="gramStart"/>
            <w:r w:rsidRPr="0074455A">
              <w:rPr>
                <w:rFonts w:ascii="Open Sans" w:eastAsia="Times New Roman" w:hAnsi="Open Sans" w:cs="Open Sans"/>
                <w:color w:val="333333"/>
                <w:kern w:val="0"/>
                <w:sz w:val="20"/>
                <w:szCs w:val="20"/>
                <w:lang w:eastAsia="en-CA"/>
                <w14:ligatures w14:val="none"/>
              </w:rPr>
              <w:t>process</w:t>
            </w:r>
            <w:proofErr w:type="gramEnd"/>
          </w:p>
          <w:p w14:paraId="6001DEF5"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 xml:space="preserve">Adam </w:t>
            </w:r>
            <w:proofErr w:type="spellStart"/>
            <w:r w:rsidRPr="0074455A">
              <w:rPr>
                <w:rFonts w:ascii="Open Sans" w:eastAsia="Times New Roman" w:hAnsi="Open Sans" w:cs="Open Sans"/>
                <w:b/>
                <w:bCs/>
                <w:color w:val="333333"/>
                <w:kern w:val="0"/>
                <w:sz w:val="20"/>
                <w:szCs w:val="20"/>
                <w:lang w:eastAsia="en-CA"/>
                <w14:ligatures w14:val="none"/>
              </w:rPr>
              <w:t>Aptowitzer</w:t>
            </w:r>
            <w:proofErr w:type="spellEnd"/>
            <w:r w:rsidRPr="0074455A">
              <w:rPr>
                <w:rFonts w:ascii="Open Sans" w:eastAsia="Times New Roman" w:hAnsi="Open Sans" w:cs="Open Sans"/>
                <w:color w:val="333333"/>
                <w:kern w:val="0"/>
                <w:sz w:val="20"/>
                <w:szCs w:val="20"/>
                <w:lang w:eastAsia="en-CA"/>
                <w14:ligatures w14:val="none"/>
              </w:rPr>
              <w:t>, KPMG Law LLP (Ottawa, ON)</w:t>
            </w:r>
          </w:p>
        </w:tc>
      </w:tr>
      <w:tr w:rsidR="0074455A" w:rsidRPr="0074455A" w14:paraId="479C04B3"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40AE974F"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lastRenderedPageBreak/>
              <w:t>3:10 pm – 3:55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04EF761D"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Policy and Legislative Updates</w:t>
            </w:r>
          </w:p>
          <w:p w14:paraId="7192E3CA"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p w14:paraId="2B39B17F"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This presentation will feature updates on a variety of topics including the Federal budget 2023, the new trust reporting rules, and provincial corporate updates.</w:t>
            </w:r>
          </w:p>
          <w:p w14:paraId="5F5B2B61"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b/>
                <w:bCs/>
                <w:color w:val="333333"/>
                <w:kern w:val="0"/>
                <w:sz w:val="20"/>
                <w:szCs w:val="20"/>
                <w:lang w:eastAsia="en-CA"/>
                <w14:ligatures w14:val="none"/>
              </w:rPr>
              <w:t>Speakers:</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C. Yvonne Chenier, K.C.</w:t>
            </w:r>
            <w:r w:rsidRPr="0074455A">
              <w:rPr>
                <w:rFonts w:ascii="Open Sans" w:eastAsia="Times New Roman" w:hAnsi="Open Sans" w:cs="Open Sans"/>
                <w:color w:val="333333"/>
                <w:kern w:val="0"/>
                <w:sz w:val="20"/>
                <w:szCs w:val="20"/>
                <w:lang w:eastAsia="en-CA"/>
                <w14:ligatures w14:val="none"/>
              </w:rPr>
              <w:t xml:space="preserve">, </w:t>
            </w:r>
            <w:proofErr w:type="spellStart"/>
            <w:r w:rsidRPr="0074455A">
              <w:rPr>
                <w:rFonts w:ascii="Open Sans" w:eastAsia="Times New Roman" w:hAnsi="Open Sans" w:cs="Open Sans"/>
                <w:color w:val="333333"/>
                <w:kern w:val="0"/>
                <w:sz w:val="20"/>
                <w:szCs w:val="20"/>
                <w:lang w:eastAsia="en-CA"/>
                <w14:ligatures w14:val="none"/>
              </w:rPr>
              <w:t>IntegralOrg</w:t>
            </w:r>
            <w:proofErr w:type="spellEnd"/>
            <w:r w:rsidRPr="0074455A">
              <w:rPr>
                <w:rFonts w:ascii="Open Sans" w:eastAsia="Times New Roman" w:hAnsi="Open Sans" w:cs="Open Sans"/>
                <w:color w:val="333333"/>
                <w:kern w:val="0"/>
                <w:sz w:val="20"/>
                <w:szCs w:val="20"/>
                <w:lang w:eastAsia="en-CA"/>
                <w14:ligatures w14:val="none"/>
              </w:rPr>
              <w:t xml:space="preserve"> (Calgary, AB)</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 xml:space="preserve">Erin </w:t>
            </w:r>
            <w:proofErr w:type="spellStart"/>
            <w:r w:rsidRPr="0074455A">
              <w:rPr>
                <w:rFonts w:ascii="Open Sans" w:eastAsia="Times New Roman" w:hAnsi="Open Sans" w:cs="Open Sans"/>
                <w:b/>
                <w:bCs/>
                <w:color w:val="333333"/>
                <w:kern w:val="0"/>
                <w:sz w:val="20"/>
                <w:szCs w:val="20"/>
                <w:lang w:eastAsia="en-CA"/>
                <w14:ligatures w14:val="none"/>
              </w:rPr>
              <w:t>Bokshowan</w:t>
            </w:r>
            <w:proofErr w:type="spellEnd"/>
            <w:r w:rsidRPr="0074455A">
              <w:rPr>
                <w:rFonts w:ascii="Open Sans" w:eastAsia="Times New Roman" w:hAnsi="Open Sans" w:cs="Open Sans"/>
                <w:color w:val="333333"/>
                <w:kern w:val="0"/>
                <w:sz w:val="20"/>
                <w:szCs w:val="20"/>
                <w:lang w:eastAsia="en-CA"/>
                <w14:ligatures w14:val="none"/>
              </w:rPr>
              <w:t>, MLT Aikins (Saskatoon, SK)</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Adam Greco</w:t>
            </w:r>
            <w:r w:rsidRPr="0074455A">
              <w:rPr>
                <w:rFonts w:ascii="Open Sans" w:eastAsia="Times New Roman" w:hAnsi="Open Sans" w:cs="Open Sans"/>
                <w:color w:val="333333"/>
                <w:kern w:val="0"/>
                <w:sz w:val="20"/>
                <w:szCs w:val="20"/>
                <w:lang w:eastAsia="en-CA"/>
                <w14:ligatures w14:val="none"/>
              </w:rPr>
              <w:t>, BLG (Toronto, ON)</w:t>
            </w:r>
            <w:r w:rsidRPr="0074455A">
              <w:rPr>
                <w:rFonts w:ascii="Open Sans" w:eastAsia="Times New Roman" w:hAnsi="Open Sans" w:cs="Open Sans"/>
                <w:color w:val="333333"/>
                <w:kern w:val="0"/>
                <w:sz w:val="20"/>
                <w:szCs w:val="20"/>
                <w:lang w:eastAsia="en-CA"/>
                <w14:ligatures w14:val="none"/>
              </w:rPr>
              <w:br/>
            </w:r>
            <w:r w:rsidRPr="0074455A">
              <w:rPr>
                <w:rFonts w:ascii="Open Sans" w:eastAsia="Times New Roman" w:hAnsi="Open Sans" w:cs="Open Sans"/>
                <w:b/>
                <w:bCs/>
                <w:color w:val="333333"/>
                <w:kern w:val="0"/>
                <w:sz w:val="20"/>
                <w:szCs w:val="20"/>
                <w:lang w:eastAsia="en-CA"/>
                <w14:ligatures w14:val="none"/>
              </w:rPr>
              <w:t>Reea Galeano</w:t>
            </w:r>
            <w:r w:rsidRPr="0074455A">
              <w:rPr>
                <w:rFonts w:ascii="Open Sans" w:eastAsia="Times New Roman" w:hAnsi="Open Sans" w:cs="Open Sans"/>
                <w:color w:val="333333"/>
                <w:kern w:val="0"/>
                <w:sz w:val="20"/>
                <w:szCs w:val="20"/>
                <w:lang w:eastAsia="en-CA"/>
                <w14:ligatures w14:val="none"/>
              </w:rPr>
              <w:t>, Gowlings LLP (Toronto, ON)</w:t>
            </w:r>
          </w:p>
        </w:tc>
      </w:tr>
      <w:tr w:rsidR="0074455A" w:rsidRPr="0074455A" w14:paraId="70057EF0"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476D2669"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3:55 pm – 4:00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41676CC0"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Closing Remarks</w:t>
            </w:r>
          </w:p>
          <w:p w14:paraId="37C3DD17"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Meeting Rooms 1-4</w:t>
            </w:r>
          </w:p>
        </w:tc>
      </w:tr>
      <w:tr w:rsidR="0074455A" w:rsidRPr="0074455A" w14:paraId="00D6C7D2" w14:textId="77777777" w:rsidTr="0074455A">
        <w:tc>
          <w:tcPr>
            <w:tcW w:w="0" w:type="auto"/>
            <w:tcBorders>
              <w:top w:val="nil"/>
              <w:left w:val="nil"/>
              <w:bottom w:val="nil"/>
              <w:right w:val="nil"/>
            </w:tcBorders>
            <w:shd w:val="clear" w:color="auto" w:fill="FFFFFF"/>
            <w:tcMar>
              <w:top w:w="120" w:type="dxa"/>
              <w:left w:w="150" w:type="dxa"/>
              <w:bottom w:w="120" w:type="dxa"/>
              <w:right w:w="150" w:type="dxa"/>
            </w:tcMar>
            <w:hideMark/>
          </w:tcPr>
          <w:p w14:paraId="1DE3B740" w14:textId="77777777" w:rsidR="0074455A" w:rsidRPr="0074455A" w:rsidRDefault="0074455A" w:rsidP="0074455A">
            <w:pPr>
              <w:spacing w:after="0" w:line="270" w:lineRule="atLeast"/>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4:00 pm – 6:00 pm</w:t>
            </w:r>
          </w:p>
        </w:tc>
        <w:tc>
          <w:tcPr>
            <w:tcW w:w="0" w:type="auto"/>
            <w:tcBorders>
              <w:top w:val="nil"/>
              <w:left w:val="nil"/>
              <w:bottom w:val="nil"/>
              <w:right w:val="nil"/>
            </w:tcBorders>
            <w:shd w:val="clear" w:color="auto" w:fill="FFFFFF"/>
            <w:tcMar>
              <w:top w:w="120" w:type="dxa"/>
              <w:left w:w="150" w:type="dxa"/>
              <w:bottom w:w="120" w:type="dxa"/>
              <w:right w:w="150" w:type="dxa"/>
            </w:tcMar>
            <w:hideMark/>
          </w:tcPr>
          <w:p w14:paraId="43F9C1AE" w14:textId="77777777" w:rsidR="0074455A" w:rsidRPr="0074455A" w:rsidRDefault="0074455A" w:rsidP="0074455A">
            <w:pPr>
              <w:spacing w:after="150" w:line="240" w:lineRule="auto"/>
              <w:rPr>
                <w:rFonts w:ascii="Open Sans" w:eastAsia="Times New Roman" w:hAnsi="Open Sans" w:cs="Open Sans"/>
                <w:b/>
                <w:bCs/>
                <w:color w:val="000000"/>
                <w:kern w:val="0"/>
                <w:sz w:val="21"/>
                <w:szCs w:val="21"/>
                <w:lang w:eastAsia="en-CA"/>
                <w14:ligatures w14:val="none"/>
              </w:rPr>
            </w:pPr>
            <w:r w:rsidRPr="0074455A">
              <w:rPr>
                <w:rFonts w:ascii="Open Sans" w:eastAsia="Times New Roman" w:hAnsi="Open Sans" w:cs="Open Sans"/>
                <w:b/>
                <w:bCs/>
                <w:color w:val="000000"/>
                <w:kern w:val="0"/>
                <w:sz w:val="21"/>
                <w:szCs w:val="21"/>
                <w:lang w:eastAsia="en-CA"/>
                <w14:ligatures w14:val="none"/>
              </w:rPr>
              <w:t>Closing Reception</w:t>
            </w:r>
          </w:p>
          <w:p w14:paraId="5F880939" w14:textId="77777777" w:rsidR="0074455A" w:rsidRPr="0074455A" w:rsidRDefault="0074455A" w:rsidP="0074455A">
            <w:pPr>
              <w:spacing w:after="150" w:line="240" w:lineRule="auto"/>
              <w:rPr>
                <w:rFonts w:ascii="Open Sans" w:eastAsia="Times New Roman" w:hAnsi="Open Sans" w:cs="Open Sans"/>
                <w:color w:val="333333"/>
                <w:kern w:val="0"/>
                <w:sz w:val="20"/>
                <w:szCs w:val="20"/>
                <w:lang w:eastAsia="en-CA"/>
                <w14:ligatures w14:val="none"/>
              </w:rPr>
            </w:pPr>
            <w:r w:rsidRPr="0074455A">
              <w:rPr>
                <w:rFonts w:ascii="Open Sans" w:eastAsia="Times New Roman" w:hAnsi="Open Sans" w:cs="Open Sans"/>
                <w:color w:val="333333"/>
                <w:kern w:val="0"/>
                <w:sz w:val="20"/>
                <w:szCs w:val="20"/>
                <w:lang w:eastAsia="en-CA"/>
                <w14:ligatures w14:val="none"/>
              </w:rPr>
              <w:t>Trade Café</w:t>
            </w:r>
          </w:p>
        </w:tc>
      </w:tr>
    </w:tbl>
    <w:p w14:paraId="60C708A0" w14:textId="77777777" w:rsidR="00C45D06" w:rsidRDefault="00C45D06"/>
    <w:sectPr w:rsidR="00C45D06" w:rsidSect="0074455A">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rimson Text">
    <w:panose1 w:val="02000503000000000000"/>
    <w:charset w:val="00"/>
    <w:family w:val="auto"/>
    <w:pitch w:val="variable"/>
    <w:sig w:usb0="E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5A"/>
    <w:rsid w:val="0074455A"/>
    <w:rsid w:val="00C45D06"/>
    <w:rsid w:val="00CD58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4823"/>
  <w15:chartTrackingRefBased/>
  <w15:docId w15:val="{9E3B735D-8BCE-4B07-ACE7-70057957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455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55A"/>
    <w:rPr>
      <w:rFonts w:ascii="Times New Roman" w:eastAsia="Times New Roman" w:hAnsi="Times New Roman" w:cs="Times New Roman"/>
      <w:b/>
      <w:bCs/>
      <w:kern w:val="0"/>
      <w:sz w:val="36"/>
      <w:szCs w:val="36"/>
      <w:lang w:eastAsia="en-CA"/>
      <w14:ligatures w14:val="none"/>
    </w:rPr>
  </w:style>
  <w:style w:type="paragraph" w:styleId="NormalWeb">
    <w:name w:val="Normal (Web)"/>
    <w:basedOn w:val="Normal"/>
    <w:uiPriority w:val="99"/>
    <w:semiHidden/>
    <w:unhideWhenUsed/>
    <w:rsid w:val="0074455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74455A"/>
    <w:rPr>
      <w:color w:val="0000FF"/>
      <w:u w:val="single"/>
    </w:rPr>
  </w:style>
  <w:style w:type="character" w:styleId="Strong">
    <w:name w:val="Strong"/>
    <w:basedOn w:val="DefaultParagraphFont"/>
    <w:uiPriority w:val="22"/>
    <w:qFormat/>
    <w:rsid w:val="0074455A"/>
    <w:rPr>
      <w:b/>
      <w:bCs/>
    </w:rPr>
  </w:style>
  <w:style w:type="paragraph" w:customStyle="1" w:styleId="sub-title">
    <w:name w:val="sub-title"/>
    <w:basedOn w:val="Normal"/>
    <w:rsid w:val="0074455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744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471">
      <w:bodyDiv w:val="1"/>
      <w:marLeft w:val="0"/>
      <w:marRight w:val="0"/>
      <w:marTop w:val="0"/>
      <w:marBottom w:val="0"/>
      <w:divBdr>
        <w:top w:val="none" w:sz="0" w:space="0" w:color="auto"/>
        <w:left w:val="none" w:sz="0" w:space="0" w:color="auto"/>
        <w:bottom w:val="none" w:sz="0" w:space="0" w:color="auto"/>
        <w:right w:val="none" w:sz="0" w:space="0" w:color="auto"/>
      </w:divBdr>
      <w:divsChild>
        <w:div w:id="42835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rs.ca/"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rtonrosefulbright.com/e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llp.com/" TargetMode="External"/><Relationship Id="rId11" Type="http://schemas.openxmlformats.org/officeDocument/2006/relationships/image" Target="media/image4.jpeg"/><Relationship Id="rId5" Type="http://schemas.openxmlformats.org/officeDocument/2006/relationships/hyperlink" Target="https://www.cba.org/Sections/Charities-and-Not-for-Profit-Law" TargetMode="External"/><Relationship Id="rId15" Type="http://schemas.openxmlformats.org/officeDocument/2006/relationships/theme" Target="theme/theme1.xml"/><Relationship Id="rId10" Type="http://schemas.openxmlformats.org/officeDocument/2006/relationships/hyperlink" Target="https://www.millerthomson.com/"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Dube</dc:creator>
  <cp:keywords/>
  <dc:description/>
  <cp:lastModifiedBy>Lynn Dube</cp:lastModifiedBy>
  <cp:revision>1</cp:revision>
  <dcterms:created xsi:type="dcterms:W3CDTF">2023-10-20T21:00:00Z</dcterms:created>
  <dcterms:modified xsi:type="dcterms:W3CDTF">2023-10-20T21:01:00Z</dcterms:modified>
</cp:coreProperties>
</file>